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69" w:rsidRPr="00347F85" w:rsidRDefault="00444ACB" w:rsidP="005F4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347F85">
        <w:rPr>
          <w:rFonts w:ascii="Times New Roman" w:hAnsi="Times New Roman" w:cs="Times New Roman"/>
          <w:b/>
          <w:sz w:val="28"/>
          <w:szCs w:val="28"/>
        </w:rPr>
        <w:t>Образац</w:t>
      </w:r>
      <w:proofErr w:type="spellEnd"/>
      <w:r w:rsidRPr="00347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8"/>
          <w:szCs w:val="28"/>
        </w:rPr>
        <w:t>испуњенос</w:t>
      </w:r>
      <w:r w:rsidR="00AD62E1" w:rsidRPr="00347F85">
        <w:rPr>
          <w:rFonts w:ascii="Times New Roman" w:hAnsi="Times New Roman" w:cs="Times New Roman"/>
          <w:b/>
          <w:sz w:val="28"/>
          <w:szCs w:val="28"/>
        </w:rPr>
        <w:t>т</w:t>
      </w:r>
      <w:r w:rsidRPr="00347F85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347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8"/>
          <w:szCs w:val="28"/>
        </w:rPr>
        <w:t>услова</w:t>
      </w:r>
      <w:proofErr w:type="spellEnd"/>
      <w:r w:rsidRPr="00347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BAC" w:rsidRPr="00347F85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807BAC" w:rsidRPr="00347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BAC" w:rsidRPr="00347F85">
        <w:rPr>
          <w:rFonts w:ascii="Times New Roman" w:hAnsi="Times New Roman" w:cs="Times New Roman"/>
          <w:b/>
          <w:sz w:val="28"/>
          <w:szCs w:val="28"/>
        </w:rPr>
        <w:t>жиг</w:t>
      </w:r>
      <w:proofErr w:type="spellEnd"/>
      <w:r w:rsidR="00807BAC" w:rsidRPr="00347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BAC" w:rsidRPr="00347F85">
        <w:rPr>
          <w:rFonts w:ascii="Times New Roman" w:hAnsi="Times New Roman" w:cs="Times New Roman"/>
          <w:b/>
          <w:sz w:val="28"/>
          <w:szCs w:val="28"/>
        </w:rPr>
        <w:t>гаранције</w:t>
      </w:r>
      <w:proofErr w:type="spellEnd"/>
      <w:r w:rsidR="00807BAC" w:rsidRPr="00347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7BAC" w:rsidRPr="00347F85">
        <w:rPr>
          <w:rFonts w:ascii="Times New Roman" w:hAnsi="Times New Roman" w:cs="Times New Roman"/>
          <w:b/>
          <w:sz w:val="28"/>
          <w:szCs w:val="28"/>
        </w:rPr>
        <w:t>,,</w:t>
      </w:r>
      <w:proofErr w:type="spellStart"/>
      <w:r w:rsidR="00807BAC" w:rsidRPr="00347F85">
        <w:rPr>
          <w:rFonts w:ascii="Times New Roman" w:hAnsi="Times New Roman" w:cs="Times New Roman"/>
          <w:b/>
          <w:sz w:val="28"/>
          <w:szCs w:val="28"/>
        </w:rPr>
        <w:t>Дигитал</w:t>
      </w:r>
      <w:proofErr w:type="spellEnd"/>
      <w:proofErr w:type="gramEnd"/>
      <w:r w:rsidR="00807BAC" w:rsidRPr="00347F85">
        <w:rPr>
          <w:rFonts w:ascii="Times New Roman" w:hAnsi="Times New Roman" w:cs="Times New Roman"/>
          <w:b/>
          <w:sz w:val="28"/>
          <w:szCs w:val="28"/>
        </w:rPr>
        <w:t xml:space="preserve"> ТВ”</w:t>
      </w:r>
    </w:p>
    <w:p w:rsidR="005F423D" w:rsidRDefault="005F423D">
      <w:pPr>
        <w:rPr>
          <w:rFonts w:ascii="Times New Roman" w:hAnsi="Times New Roman" w:cs="Times New Roman"/>
          <w:sz w:val="24"/>
          <w:szCs w:val="24"/>
        </w:rPr>
      </w:pPr>
    </w:p>
    <w:p w:rsidR="00514E94" w:rsidRPr="00347F85" w:rsidRDefault="00514E94">
      <w:pPr>
        <w:rPr>
          <w:rFonts w:ascii="Times New Roman" w:hAnsi="Times New Roman" w:cs="Times New Roman"/>
          <w:sz w:val="24"/>
          <w:szCs w:val="24"/>
        </w:rPr>
      </w:pPr>
    </w:p>
    <w:p w:rsidR="005F423D" w:rsidRPr="00347F85" w:rsidRDefault="005F423D" w:rsidP="001A3A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F85">
        <w:rPr>
          <w:rFonts w:ascii="Times New Roman" w:hAnsi="Times New Roman" w:cs="Times New Roman"/>
          <w:b/>
          <w:sz w:val="24"/>
          <w:szCs w:val="24"/>
        </w:rPr>
        <w:t>O</w:t>
      </w:r>
      <w:r w:rsidRPr="00347F85">
        <w:rPr>
          <w:rFonts w:ascii="Times New Roman" w:hAnsi="Times New Roman" w:cs="Times New Roman"/>
          <w:b/>
          <w:sz w:val="24"/>
          <w:szCs w:val="24"/>
          <w:lang w:val="sr-Cyrl-CS"/>
        </w:rPr>
        <w:t>дговорно лице</w:t>
      </w:r>
      <w:r w:rsidRPr="00347F8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5F423D" w:rsidRPr="00347F85" w:rsidTr="00C221C0"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Пословно име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Имe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C221C0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C221C0"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Зeмљa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C221C0"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Пoштaнски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брoj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C221C0"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Грaд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C221C0"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Улицa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брoj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C221C0"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Teлeфoн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C221C0"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Фa</w:t>
            </w:r>
            <w:r w:rsidR="00BB7A54" w:rsidRPr="00347F85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C221C0">
        <w:trPr>
          <w:trHeight w:val="485"/>
        </w:trPr>
        <w:tc>
          <w:tcPr>
            <w:tcW w:w="2376" w:type="dxa"/>
            <w:shd w:val="clear" w:color="auto" w:fill="auto"/>
            <w:vAlign w:val="center"/>
          </w:tcPr>
          <w:p w:rsidR="005F423D" w:rsidRPr="00347F85" w:rsidRDefault="005F423D" w:rsidP="00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F423D" w:rsidRDefault="005F423D">
      <w:pPr>
        <w:rPr>
          <w:rFonts w:ascii="Times New Roman" w:hAnsi="Times New Roman" w:cs="Times New Roman"/>
        </w:rPr>
      </w:pPr>
    </w:p>
    <w:p w:rsidR="00514E94" w:rsidRPr="00347F85" w:rsidRDefault="00514E94">
      <w:pPr>
        <w:rPr>
          <w:rFonts w:ascii="Times New Roman" w:hAnsi="Times New Roman" w:cs="Times New Roman"/>
        </w:rPr>
      </w:pPr>
    </w:p>
    <w:p w:rsidR="005F423D" w:rsidRPr="00347F85" w:rsidRDefault="005F423D" w:rsidP="005F42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Пријемник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пријављује</w:t>
      </w:r>
      <w:r w:rsidR="00AD01C8" w:rsidRPr="00347F85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23D" w:rsidRPr="00347F85" w:rsidRDefault="005F423D" w:rsidP="005F423D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5F423D" w:rsidRPr="00347F85" w:rsidTr="0036289D">
        <w:tc>
          <w:tcPr>
            <w:tcW w:w="2376" w:type="dxa"/>
            <w:shd w:val="clear" w:color="auto" w:fill="auto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Tипскa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oзнaкa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мoдeл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36289D">
        <w:tc>
          <w:tcPr>
            <w:tcW w:w="2376" w:type="dxa"/>
            <w:shd w:val="clear" w:color="auto" w:fill="auto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Каталошки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423D" w:rsidRPr="00347F85" w:rsidTr="0036289D">
        <w:tc>
          <w:tcPr>
            <w:tcW w:w="2376" w:type="dxa"/>
            <w:shd w:val="clear" w:color="auto" w:fill="auto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Прoизвoђaч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5F423D" w:rsidRPr="00347F85" w:rsidRDefault="005F423D" w:rsidP="003628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F423D" w:rsidRDefault="005F423D">
      <w:pPr>
        <w:rPr>
          <w:rFonts w:ascii="Times New Roman" w:hAnsi="Times New Roman" w:cs="Times New Roman"/>
        </w:rPr>
      </w:pPr>
    </w:p>
    <w:p w:rsidR="00514E94" w:rsidRDefault="00514E94">
      <w:pPr>
        <w:rPr>
          <w:rFonts w:ascii="Times New Roman" w:hAnsi="Times New Roman" w:cs="Times New Roman"/>
        </w:rPr>
      </w:pPr>
    </w:p>
    <w:p w:rsidR="00514E94" w:rsidRDefault="00514E94">
      <w:pPr>
        <w:rPr>
          <w:rFonts w:ascii="Times New Roman" w:hAnsi="Times New Roman" w:cs="Times New Roman"/>
        </w:rPr>
      </w:pPr>
    </w:p>
    <w:p w:rsidR="00514E94" w:rsidRDefault="00514E94">
      <w:pPr>
        <w:rPr>
          <w:rFonts w:ascii="Times New Roman" w:hAnsi="Times New Roman" w:cs="Times New Roman"/>
        </w:rPr>
      </w:pPr>
    </w:p>
    <w:p w:rsidR="00514E94" w:rsidRDefault="00514E94">
      <w:pPr>
        <w:rPr>
          <w:rFonts w:ascii="Times New Roman" w:hAnsi="Times New Roman" w:cs="Times New Roman"/>
        </w:rPr>
      </w:pPr>
    </w:p>
    <w:p w:rsidR="00514E94" w:rsidRDefault="00514E94">
      <w:pPr>
        <w:rPr>
          <w:rFonts w:ascii="Times New Roman" w:hAnsi="Times New Roman" w:cs="Times New Roman"/>
        </w:rPr>
      </w:pPr>
    </w:p>
    <w:p w:rsidR="00514E94" w:rsidRPr="00347F85" w:rsidRDefault="00514E94">
      <w:pPr>
        <w:rPr>
          <w:rFonts w:ascii="Times New Roman" w:hAnsi="Times New Roman" w:cs="Times New Roman"/>
        </w:rPr>
      </w:pPr>
    </w:p>
    <w:p w:rsidR="005F423D" w:rsidRPr="00347F85" w:rsidRDefault="001A3AA1" w:rsidP="005F42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lastRenderedPageBreak/>
        <w:t>Услови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жиг</w:t>
      </w:r>
      <w:proofErr w:type="spellEnd"/>
      <w:r w:rsidRPr="00347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b/>
          <w:sz w:val="24"/>
          <w:szCs w:val="24"/>
        </w:rPr>
        <w:t>гаранције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4ACB" w:rsidRPr="00347F85" w:rsidTr="00444ACB">
        <w:trPr>
          <w:trHeight w:val="323"/>
        </w:trPr>
        <w:tc>
          <w:tcPr>
            <w:tcW w:w="4675" w:type="dxa"/>
          </w:tcPr>
          <w:p w:rsidR="00444ACB" w:rsidRPr="00347F85" w:rsidRDefault="00444ACB" w:rsidP="00354B8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 w:rsidP="00444ACB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прима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сигнале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фреквенцијским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офсетом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Δf</w:t>
            </w:r>
            <w:proofErr w:type="spellEnd"/>
            <w:proofErr w:type="gram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=±10kHz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централне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фреквенције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канала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омогућава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постављање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улазног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степена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централну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фреквенцију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канала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UHF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опсезима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IV и V (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фреквенцијски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опсег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470-790 MHz),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oдносно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>канала</w:t>
            </w:r>
            <w:proofErr w:type="spellEnd"/>
            <w:r w:rsidRPr="00347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21-60.</w:t>
            </w:r>
          </w:p>
          <w:p w:rsidR="00444ACB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444A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44ACB" w:rsidRPr="00347F85" w:rsidRDefault="00444ACB" w:rsidP="00444AC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DA2E6D" w:rsidP="00444A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CB" w:rsidRPr="00347F85" w:rsidTr="003A42AD">
        <w:trPr>
          <w:trHeight w:val="323"/>
        </w:trPr>
        <w:tc>
          <w:tcPr>
            <w:tcW w:w="9350" w:type="dxa"/>
            <w:gridSpan w:val="2"/>
          </w:tcPr>
          <w:p w:rsidR="00444ACB" w:rsidRPr="00347F85" w:rsidRDefault="00444ACB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CB" w:rsidRPr="00347F85" w:rsidTr="00700C1B">
        <w:trPr>
          <w:trHeight w:val="323"/>
        </w:trPr>
        <w:tc>
          <w:tcPr>
            <w:tcW w:w="4675" w:type="dxa"/>
          </w:tcPr>
          <w:p w:rsidR="00444ACB" w:rsidRPr="00347F85" w:rsidRDefault="00444ACB" w:rsidP="00354B8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 w:rsidP="00444ACB">
            <w:pPr>
              <w:pStyle w:val="ListParagraph"/>
              <w:numPr>
                <w:ilvl w:val="0"/>
                <w:numId w:val="2"/>
              </w:numPr>
              <w:ind w:left="0" w:firstLine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функционише исправно у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SFN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окружењу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ACB" w:rsidRPr="00347F85" w:rsidRDefault="00444ACB" w:rsidP="00444AC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444A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44ACB" w:rsidRPr="00347F85" w:rsidRDefault="00444ACB" w:rsidP="00444AC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Default="00444ACB" w:rsidP="00444A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14E94" w:rsidRPr="00514E94" w:rsidRDefault="00514E94" w:rsidP="00514E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514E94" w:rsidRDefault="00514E94" w:rsidP="0051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CB" w:rsidRPr="00347F85" w:rsidTr="00662EEF">
        <w:trPr>
          <w:trHeight w:val="323"/>
        </w:trPr>
        <w:tc>
          <w:tcPr>
            <w:tcW w:w="9350" w:type="dxa"/>
            <w:gridSpan w:val="2"/>
          </w:tcPr>
          <w:p w:rsidR="00444ACB" w:rsidRPr="00347F85" w:rsidRDefault="00444ACB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444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CB" w:rsidRPr="00347F85" w:rsidTr="003412C6">
        <w:trPr>
          <w:trHeight w:val="323"/>
        </w:trPr>
        <w:tc>
          <w:tcPr>
            <w:tcW w:w="4675" w:type="dxa"/>
          </w:tcPr>
          <w:p w:rsidR="00444ACB" w:rsidRPr="00347F85" w:rsidRDefault="00444ACB" w:rsidP="000B1A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8453C" w:rsidP="0048453C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Максимални ниво улазног сигнала који пријемник подрж</w:t>
            </w:r>
            <w:r w:rsidR="000607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ава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а да се квалитет пријема не деградира, износи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dBm.</w:t>
            </w:r>
          </w:p>
        </w:tc>
        <w:tc>
          <w:tcPr>
            <w:tcW w:w="4675" w:type="dxa"/>
          </w:tcPr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44ACB" w:rsidRPr="00347F85" w:rsidRDefault="00444ACB" w:rsidP="003412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CB" w:rsidRPr="00347F85" w:rsidTr="003412C6">
        <w:trPr>
          <w:trHeight w:val="323"/>
        </w:trPr>
        <w:tc>
          <w:tcPr>
            <w:tcW w:w="9350" w:type="dxa"/>
            <w:gridSpan w:val="2"/>
          </w:tcPr>
          <w:p w:rsidR="00444ACB" w:rsidRPr="00347F85" w:rsidRDefault="00444ACB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CB" w:rsidRPr="00347F85" w:rsidTr="003412C6">
        <w:trPr>
          <w:trHeight w:val="323"/>
        </w:trPr>
        <w:tc>
          <w:tcPr>
            <w:tcW w:w="4675" w:type="dxa"/>
          </w:tcPr>
          <w:p w:rsidR="00444ACB" w:rsidRPr="00347F85" w:rsidRDefault="00444ACB" w:rsidP="000B1A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улазни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RF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компатибилан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антенским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прикључком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IEC 60169-2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мушки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улазне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импедансе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75 Ω,  а 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стандардом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IEC 60169-2. </w:t>
            </w:r>
          </w:p>
          <w:p w:rsidR="00A76B55" w:rsidRPr="00347F85" w:rsidRDefault="00A76B55" w:rsidP="00A76B5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EE5ECC" w:rsidP="0048453C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злазни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RF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пријемника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STB je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компатибилан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антенским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прикључком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IEC 60169-2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улазне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импедансе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75 Ω, а у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стандардом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IEC 60169-2, </w:t>
            </w:r>
            <w:r w:rsidR="00060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омогућ</w:t>
            </w:r>
            <w:r w:rsidR="000607F2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сигнала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излазу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независно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приправном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режиму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(stand-by).</w:t>
            </w:r>
          </w:p>
          <w:p w:rsidR="004F0AE7" w:rsidRDefault="004F0AE7" w:rsidP="004F0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 w:rsidP="004F0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44ACB" w:rsidRPr="00347F85" w:rsidRDefault="00444ACB" w:rsidP="003412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CB" w:rsidRPr="00347F85" w:rsidRDefault="00444ACB" w:rsidP="00341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8453C" w:rsidRPr="00347F85" w:rsidRDefault="0048453C" w:rsidP="004845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9B0F9E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9B0F9E" w:rsidRPr="009B0F9E" w:rsidRDefault="009B0F9E" w:rsidP="009B0F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9E" w:rsidRPr="00347F85" w:rsidRDefault="009B0F9E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излазни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</w:p>
          <w:p w:rsidR="00444ACB" w:rsidRPr="00347F85" w:rsidRDefault="00444ACB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3412C6">
        <w:trPr>
          <w:trHeight w:val="323"/>
        </w:trPr>
        <w:tc>
          <w:tcPr>
            <w:tcW w:w="9350" w:type="dxa"/>
            <w:gridSpan w:val="2"/>
          </w:tcPr>
          <w:p w:rsidR="0048453C" w:rsidRPr="00347F85" w:rsidRDefault="0048453C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Default="0048453C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Default="0048453C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B59" w:rsidRPr="00347F85" w:rsidRDefault="00623B59" w:rsidP="0034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9D2F8A">
        <w:trPr>
          <w:trHeight w:val="323"/>
        </w:trPr>
        <w:tc>
          <w:tcPr>
            <w:tcW w:w="4675" w:type="dxa"/>
          </w:tcPr>
          <w:p w:rsidR="0048453C" w:rsidRPr="00347F85" w:rsidRDefault="0048453C" w:rsidP="000B1A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73C" w:rsidRPr="00DF03C3" w:rsidRDefault="0048453C" w:rsidP="0048453C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SCART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конектор на излазу</w:t>
            </w:r>
            <w:r w:rsidR="00EE5E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пријемника типа </w:t>
            </w:r>
            <w:r w:rsidR="00EE5ECC">
              <w:rPr>
                <w:rFonts w:ascii="Times New Roman" w:hAnsi="Times New Roman" w:cs="Times New Roman"/>
                <w:sz w:val="24"/>
                <w:szCs w:val="24"/>
              </w:rPr>
              <w:t xml:space="preserve">STB </w:t>
            </w:r>
            <w:r w:rsidR="00EE5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складу са стандардима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EN 50049-1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 50157-2-1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Вишеканални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формати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преношења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овакву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излаза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581D" w:rsidRPr="00347F85">
              <w:rPr>
                <w:rFonts w:ascii="Times New Roman" w:hAnsi="Times New Roman" w:cs="Times New Roman"/>
                <w:sz w:val="24"/>
                <w:szCs w:val="24"/>
              </w:rPr>
              <w:t>конвертовати</w:t>
            </w:r>
            <w:proofErr w:type="spellEnd"/>
            <w:r w:rsidR="0037581D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стерео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C3" w:rsidRDefault="00DF03C3" w:rsidP="00DF03C3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DF03C3" w:rsidRDefault="00514E94" w:rsidP="00DF03C3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8453C" w:rsidRPr="00347F85" w:rsidRDefault="0048453C" w:rsidP="004845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9B0F9E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9B0F9E" w:rsidRPr="009B0F9E" w:rsidRDefault="009B0F9E" w:rsidP="009B0F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9E" w:rsidRPr="00347F85" w:rsidRDefault="009B0F9E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SCART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4C4C77">
        <w:trPr>
          <w:trHeight w:val="323"/>
        </w:trPr>
        <w:tc>
          <w:tcPr>
            <w:tcW w:w="9350" w:type="dxa"/>
            <w:gridSpan w:val="2"/>
          </w:tcPr>
          <w:p w:rsidR="0048453C" w:rsidRPr="00347F85" w:rsidRDefault="0048453C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Default="00514E94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9D2F8A">
        <w:trPr>
          <w:trHeight w:val="323"/>
        </w:trPr>
        <w:tc>
          <w:tcPr>
            <w:tcW w:w="4675" w:type="dxa"/>
          </w:tcPr>
          <w:p w:rsidR="0048453C" w:rsidRPr="00347F85" w:rsidRDefault="0048453C" w:rsidP="000B1A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EE5ECC" w:rsidP="0048453C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терео аналогни аудио излаз са коаксијалним 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RCA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прикључком, женски,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пријемника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STB,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складу са стандардом IEC 60603-14, или 3.5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mm 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TRS 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прикључак.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еканални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формати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прено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ења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овакву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излаза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пријемника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конвертовати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стерео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AE7" w:rsidRDefault="004F0AE7" w:rsidP="004F0AE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 w:rsidP="004F0AE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8453C" w:rsidRPr="00347F85" w:rsidRDefault="0048453C" w:rsidP="004845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9B0F9E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9B0F9E" w:rsidRPr="009B0F9E" w:rsidRDefault="009B0F9E" w:rsidP="009B0F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9E" w:rsidRPr="00347F85" w:rsidRDefault="009B0F9E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излаз</w:t>
            </w:r>
            <w:proofErr w:type="spellEnd"/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5A7BBD">
        <w:trPr>
          <w:trHeight w:val="323"/>
        </w:trPr>
        <w:tc>
          <w:tcPr>
            <w:tcW w:w="9350" w:type="dxa"/>
            <w:gridSpan w:val="2"/>
          </w:tcPr>
          <w:p w:rsidR="0048453C" w:rsidRPr="00347F85" w:rsidRDefault="0048453C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514E94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9D2F8A">
        <w:trPr>
          <w:trHeight w:val="323"/>
        </w:trPr>
        <w:tc>
          <w:tcPr>
            <w:tcW w:w="4675" w:type="dxa"/>
          </w:tcPr>
          <w:p w:rsidR="0048453C" w:rsidRPr="00347F85" w:rsidRDefault="0048453C" w:rsidP="000B1A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D17913" w:rsidP="00FE568D">
            <w:pPr>
              <w:pStyle w:val="ListParagraph"/>
              <w:numPr>
                <w:ilvl w:val="0"/>
                <w:numId w:val="2"/>
              </w:numPr>
              <w:spacing w:after="12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налогни коаксијални 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RCA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женски, видео излаз,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пријемника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STB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складу са стандардом IEC 60603-14, са излазним аналогним видео сигналом у формату </w:t>
            </w:r>
            <w:proofErr w:type="spellStart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>YPbPr</w:t>
            </w:r>
            <w:proofErr w:type="spellEnd"/>
            <w:r w:rsidR="0048453C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складу са стандардом </w:t>
            </w:r>
            <w:r w:rsidR="0048453C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CEA 770.3.</w:t>
            </w:r>
          </w:p>
        </w:tc>
        <w:tc>
          <w:tcPr>
            <w:tcW w:w="4675" w:type="dxa"/>
          </w:tcPr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8453C" w:rsidRPr="00347F85" w:rsidRDefault="0048453C" w:rsidP="004845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9B0F9E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9B0F9E" w:rsidRPr="009B0F9E" w:rsidRDefault="009B0F9E" w:rsidP="009B0F9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9E" w:rsidRPr="00347F85" w:rsidRDefault="009B0F9E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F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7F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FDB"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 w:rsidR="007F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FDB">
              <w:rPr>
                <w:rFonts w:ascii="Times New Roman" w:hAnsi="Times New Roman" w:cs="Times New Roman"/>
                <w:sz w:val="24"/>
                <w:szCs w:val="24"/>
              </w:rPr>
              <w:t>аналогни</w:t>
            </w:r>
            <w:proofErr w:type="spellEnd"/>
            <w:r w:rsidR="007F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FD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="007F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FDB">
              <w:rPr>
                <w:rFonts w:ascii="Times New Roman" w:hAnsi="Times New Roman" w:cs="Times New Roman"/>
                <w:sz w:val="24"/>
                <w:szCs w:val="24"/>
              </w:rPr>
              <w:t>излаз</w:t>
            </w:r>
            <w:proofErr w:type="spellEnd"/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D65133">
        <w:trPr>
          <w:trHeight w:val="323"/>
        </w:trPr>
        <w:tc>
          <w:tcPr>
            <w:tcW w:w="9350" w:type="dxa"/>
            <w:gridSpan w:val="2"/>
          </w:tcPr>
          <w:p w:rsidR="0048453C" w:rsidRPr="00347F85" w:rsidRDefault="0048453C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9D2F8A">
        <w:trPr>
          <w:trHeight w:val="323"/>
        </w:trPr>
        <w:tc>
          <w:tcPr>
            <w:tcW w:w="4675" w:type="dxa"/>
          </w:tcPr>
          <w:p w:rsidR="0048453C" w:rsidRPr="00347F85" w:rsidRDefault="0048453C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FE568D" w:rsidRDefault="00D17913" w:rsidP="00AB0A4A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8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оаксијални или оптички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SPDIF 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излаз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пријемника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који </w:t>
            </w:r>
            <w:bookmarkEnd w:id="1"/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омогућава пренос аудио формата у изворном подржаном формату или у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PCM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формату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складу са стандардом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IEC 60958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или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IEC 61937.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55" w:rsidRPr="00FE56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подржава транскодовање </w:t>
            </w:r>
            <w:r w:rsidR="00A76B55" w:rsidRPr="00FE5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E-AC</w:t>
            </w:r>
            <w:r w:rsidR="007F5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6B55" w:rsidRPr="00FE5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="00A76B55" w:rsidRPr="00FE56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</w:t>
            </w:r>
            <w:r w:rsidR="00A76B55" w:rsidRPr="00FE568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AC-3 </w:t>
            </w:r>
            <w:r w:rsidR="00A76B55" w:rsidRPr="00FE56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формат при протоку 640 kb/s.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8453C" w:rsidRPr="00347F85" w:rsidRDefault="0048453C" w:rsidP="004845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7F5FDB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7F5FDB" w:rsidRPr="007F5FDB" w:rsidRDefault="007F5FDB" w:rsidP="007F5F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DB" w:rsidRPr="00347F85" w:rsidRDefault="007F5FDB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SPDIF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излаз</w:t>
            </w:r>
            <w:proofErr w:type="spellEnd"/>
          </w:p>
          <w:p w:rsidR="0048453C" w:rsidRPr="00FE568D" w:rsidRDefault="0048453C" w:rsidP="00FE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55" w:rsidRPr="00347F85" w:rsidTr="00276040">
        <w:trPr>
          <w:trHeight w:val="323"/>
        </w:trPr>
        <w:tc>
          <w:tcPr>
            <w:tcW w:w="9350" w:type="dxa"/>
            <w:gridSpan w:val="2"/>
          </w:tcPr>
          <w:p w:rsidR="00A76B55" w:rsidRPr="00347F85" w:rsidRDefault="00A76B55" w:rsidP="00AB0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C" w:rsidRPr="00347F85" w:rsidTr="009D2F8A">
        <w:trPr>
          <w:trHeight w:val="323"/>
        </w:trPr>
        <w:tc>
          <w:tcPr>
            <w:tcW w:w="4675" w:type="dxa"/>
          </w:tcPr>
          <w:p w:rsidR="0048453C" w:rsidRPr="00347F85" w:rsidRDefault="0048453C" w:rsidP="00FE56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D17913" w:rsidP="00A76B55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злазни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HDMI 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5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пријемника </w:t>
            </w:r>
            <w:r w:rsidR="0010150B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015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>захтевима</w:t>
            </w:r>
            <w:proofErr w:type="spellEnd"/>
            <w:r w:rsidR="00A76B55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55"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EICTA HDTV Minimum</w:t>
            </w:r>
            <w:r w:rsidR="00A76B55" w:rsidRPr="00347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6B55"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Requirements for HD Television Receivers</w:t>
            </w:r>
            <w:r w:rsidR="00A76B55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A76B55" w:rsidRPr="00D55161" w:rsidRDefault="00A76B55" w:rsidP="00D55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Пијемник има могућност аутоматског прилагођавања излазног формата прикљученом екрану у складу са </w:t>
            </w:r>
            <w:r w:rsidRPr="00D551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EDID</w:t>
            </w:r>
            <w:r w:rsidRPr="00D551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информацијама екрана, у складу са стандардом CEA-861, односно прилагођавања формата у смислу квалитета слике, уколико захтевани формат није подржан. </w:t>
            </w:r>
          </w:p>
          <w:p w:rsidR="00A76B55" w:rsidRPr="00D55161" w:rsidRDefault="00A76B55" w:rsidP="00D55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ручног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фиксног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следеће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161">
              <w:rPr>
                <w:rFonts w:ascii="Times New Roman" w:eastAsiaTheme="minorEastAsia" w:hAnsi="Times New Roman" w:cs="Times New Roman"/>
                <w:sz w:val="24"/>
                <w:szCs w:val="24"/>
              </w:rPr>
              <w:t>1920x1080i@25Hz, 1920x720p@50Hz, 720x576p@25Hz,</w:t>
            </w:r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опционо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1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1920x1080p@25Hz, 1920x1080p@50Hz. </w:t>
            </w:r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у E-AC-3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формату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излазу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обезбеђен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изворни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E-AC-3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битски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транскодован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E-AC-3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битски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у AC-3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битски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 xml:space="preserve"> PCM </w:t>
            </w:r>
            <w:proofErr w:type="spellStart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D55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53C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48453C" w:rsidRPr="00347F85" w:rsidRDefault="0048453C" w:rsidP="004845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7F5FDB" w:rsidRDefault="0048453C" w:rsidP="004845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7F5FDB" w:rsidRPr="007F5FDB" w:rsidRDefault="007F5FDB" w:rsidP="007F5F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DB" w:rsidRPr="007F5FDB" w:rsidRDefault="007F5FDB" w:rsidP="007F5F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</w:p>
          <w:p w:rsidR="00A76B55" w:rsidRPr="00D55161" w:rsidRDefault="00A76B55" w:rsidP="00D5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3C" w:rsidRPr="00347F85" w:rsidRDefault="0048453C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55" w:rsidRPr="00347F85" w:rsidTr="00DA04FA">
        <w:trPr>
          <w:trHeight w:val="323"/>
        </w:trPr>
        <w:tc>
          <w:tcPr>
            <w:tcW w:w="9350" w:type="dxa"/>
            <w:gridSpan w:val="2"/>
          </w:tcPr>
          <w:p w:rsidR="00A76B55" w:rsidRPr="00347F85" w:rsidRDefault="00A76B5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48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55" w:rsidRPr="00347F85" w:rsidTr="009D2F8A">
        <w:trPr>
          <w:trHeight w:val="323"/>
        </w:trPr>
        <w:tc>
          <w:tcPr>
            <w:tcW w:w="4675" w:type="dxa"/>
          </w:tcPr>
          <w:p w:rsidR="00A76B55" w:rsidRPr="00347F85" w:rsidRDefault="00A76B5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DVB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конектор за условни приступ</w:t>
            </w:r>
            <w:r w:rsidR="008F70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A53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пријемника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чиме се </w:t>
            </w:r>
            <w:r w:rsidR="0037581D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омогућава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прикључивање модула за условни приступ</w:t>
            </w:r>
            <w:r w:rsidR="002A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мора бити у складу са 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CI Plus Specification v1.2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новијом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76B55" w:rsidRPr="00347F85" w:rsidRDefault="00A76B55" w:rsidP="00A76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C84532" w:rsidRPr="00C84532" w:rsidRDefault="00C84532" w:rsidP="00C845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514E94" w:rsidRDefault="00C84532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DVB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5" w:rsidRPr="00347F85" w:rsidTr="008773FB">
        <w:trPr>
          <w:trHeight w:val="323"/>
        </w:trPr>
        <w:tc>
          <w:tcPr>
            <w:tcW w:w="9350" w:type="dxa"/>
            <w:gridSpan w:val="2"/>
          </w:tcPr>
          <w:p w:rsidR="00A76B55" w:rsidRPr="00347F85" w:rsidRDefault="00A76B5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55" w:rsidRPr="00347F85" w:rsidTr="009D2F8A">
        <w:trPr>
          <w:trHeight w:val="323"/>
        </w:trPr>
        <w:tc>
          <w:tcPr>
            <w:tcW w:w="4675" w:type="dxa"/>
          </w:tcPr>
          <w:p w:rsidR="00A76B55" w:rsidRPr="00347F85" w:rsidRDefault="00A76B5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B91415" w:rsidP="00B91415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подржане аудио формате емитованог сигнала пријемник подржава све варијанте броја канала и проток аудио података који су дефинисани припадајућим стандардом.</w:t>
            </w:r>
          </w:p>
          <w:p w:rsidR="00514E94" w:rsidRPr="00347F85" w:rsidRDefault="00514E94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76B55" w:rsidRPr="00347F85" w:rsidRDefault="00A76B55" w:rsidP="00A76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15" w:rsidRPr="00347F85" w:rsidTr="00A10F34">
        <w:trPr>
          <w:trHeight w:val="323"/>
        </w:trPr>
        <w:tc>
          <w:tcPr>
            <w:tcW w:w="9350" w:type="dxa"/>
            <w:gridSpan w:val="2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55" w:rsidRPr="00347F85" w:rsidTr="009D2F8A">
        <w:trPr>
          <w:trHeight w:val="323"/>
        </w:trPr>
        <w:tc>
          <w:tcPr>
            <w:tcW w:w="4675" w:type="dxa"/>
          </w:tcPr>
          <w:p w:rsidR="00A76B55" w:rsidRPr="00347F85" w:rsidRDefault="00A76B5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подржава фиксни и променљиви проток видео података, уз могућност декодовања преносног тока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600 kb/s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 72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Mb/s.</w:t>
            </w:r>
          </w:p>
          <w:p w:rsidR="00514E94" w:rsidRPr="00514E94" w:rsidRDefault="00514E94" w:rsidP="0051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76B55" w:rsidRPr="00347F85" w:rsidRDefault="00A76B55" w:rsidP="00A76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15" w:rsidRPr="00347F85" w:rsidTr="006926CD">
        <w:trPr>
          <w:trHeight w:val="323"/>
        </w:trPr>
        <w:tc>
          <w:tcPr>
            <w:tcW w:w="9350" w:type="dxa"/>
            <w:gridSpan w:val="2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55" w:rsidRPr="00347F85" w:rsidTr="009D2F8A">
        <w:trPr>
          <w:trHeight w:val="323"/>
        </w:trPr>
        <w:tc>
          <w:tcPr>
            <w:tcW w:w="4675" w:type="dxa"/>
          </w:tcPr>
          <w:p w:rsidR="00A76B55" w:rsidRPr="00347F85" w:rsidRDefault="00A76B5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подржава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декодовање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преносног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нивоа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521FA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профиле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Main и High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нивоима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3 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ETSI TS 101 154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декодовање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SDTV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E94" w:rsidRPr="00514E94" w:rsidRDefault="00B91415" w:rsidP="00514E94">
            <w:pPr>
              <w:pStyle w:val="ListParagraph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профиле</w:t>
            </w:r>
            <w:proofErr w:type="spellEnd"/>
            <w:proofErr w:type="gram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Main и High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нивоима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4 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ETSI TS 101 154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декодовање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HDTV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B55" w:rsidRPr="00347F85" w:rsidRDefault="00A76B5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347F85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76B55" w:rsidRPr="00347F85" w:rsidRDefault="00A76B55" w:rsidP="00A76B5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55" w:rsidRPr="00514E94" w:rsidRDefault="00A76B55" w:rsidP="00A76B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</w:tc>
      </w:tr>
      <w:tr w:rsidR="00B91415" w:rsidRPr="00347F85" w:rsidTr="0073284B">
        <w:trPr>
          <w:trHeight w:val="323"/>
        </w:trPr>
        <w:tc>
          <w:tcPr>
            <w:tcW w:w="9350" w:type="dxa"/>
            <w:gridSpan w:val="2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A7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15" w:rsidRPr="00347F85" w:rsidTr="009D2F8A">
        <w:trPr>
          <w:trHeight w:val="323"/>
        </w:trPr>
        <w:tc>
          <w:tcPr>
            <w:tcW w:w="4675" w:type="dxa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подржава динамичку измену односа димензија слике са 4:3 на 16:9 и обрнуто. Ова промена може бити иницирана аутоматски, на основу параметара преносног тока, или на захтев корисника. У случају пријема анаморфне слике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изaбрaнoм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oднoсу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4:3, пријемник треба да подржи конверзију на 16:9 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letterbox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уз примену вертикалног филтрирања. Деградација квалитета слике настала филтрирањем треба да буде неприметна за корисника.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преношења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аналогни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излаз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видeo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сaдржaj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мoрa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бити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кoнвeртoвaн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SD, и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екрану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односом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4:3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мoрa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бити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прикaзaн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као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16:9 </w:t>
            </w:r>
            <w:r w:rsidRPr="00347F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letterbox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91415" w:rsidRPr="00347F85" w:rsidRDefault="00B91415" w:rsidP="00B9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B91415" w:rsidRPr="00347F85" w:rsidRDefault="00B91415" w:rsidP="00B914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15" w:rsidRPr="00347F85" w:rsidTr="00241BEB">
        <w:trPr>
          <w:trHeight w:val="323"/>
        </w:trPr>
        <w:tc>
          <w:tcPr>
            <w:tcW w:w="9350" w:type="dxa"/>
            <w:gridSpan w:val="2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15" w:rsidRPr="00347F85" w:rsidTr="009D2F8A">
        <w:trPr>
          <w:trHeight w:val="323"/>
        </w:trPr>
        <w:tc>
          <w:tcPr>
            <w:tcW w:w="4675" w:type="dxa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B91415" w:rsidP="00B91415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подржава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декодовање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телетекста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стадндардом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ETSI EN 300 706. </w:t>
            </w:r>
          </w:p>
          <w:p w:rsidR="00B91415" w:rsidRPr="000E755A" w:rsidRDefault="00521FA3" w:rsidP="000E755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подржава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убацивање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телетекста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VBI и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пренос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преко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одговарајућег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аналогног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видео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излаза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складу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>са</w:t>
            </w:r>
            <w:proofErr w:type="spellEnd"/>
            <w:r w:rsidR="00B91415" w:rsidRPr="000E75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ITU-R BT.653-3.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B91415" w:rsidRPr="00347F85" w:rsidRDefault="00B91415" w:rsidP="00B914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0E755A" w:rsidRDefault="00521FA3" w:rsidP="000E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15" w:rsidRPr="00347F85" w:rsidTr="009D0B61">
        <w:trPr>
          <w:trHeight w:val="323"/>
        </w:trPr>
        <w:tc>
          <w:tcPr>
            <w:tcW w:w="9350" w:type="dxa"/>
            <w:gridSpan w:val="2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15" w:rsidRPr="00347F85" w:rsidTr="009D2F8A">
        <w:trPr>
          <w:trHeight w:val="323"/>
        </w:trPr>
        <w:tc>
          <w:tcPr>
            <w:tcW w:w="4675" w:type="dxa"/>
          </w:tcPr>
          <w:p w:rsidR="00B91415" w:rsidRPr="00347F85" w:rsidRDefault="00B91415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омогућава скалирање величине превода тако да превод одговара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HD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садржају, ако је превод изворно намењем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SD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резолуцији</w:t>
            </w:r>
            <w:r w:rsidR="000E755A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="000E755A">
              <w:rPr>
                <w:rFonts w:ascii="Times New Roman" w:hAnsi="Times New Roman" w:cs="Times New Roman"/>
                <w:sz w:val="24"/>
                <w:szCs w:val="24"/>
              </w:rPr>
              <w:t>обрнуто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Ово скалирање не сме да угрози читљивост превода. У оквиру графичке корисничке спреге мора бити омогућено приказивање превода за кориснике са оштећеним слухом.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B91415" w:rsidRPr="00347F85" w:rsidRDefault="00B91415" w:rsidP="00B914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15" w:rsidRPr="00347F85" w:rsidRDefault="00B91415" w:rsidP="00B9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1912F1">
        <w:trPr>
          <w:trHeight w:val="323"/>
        </w:trPr>
        <w:tc>
          <w:tcPr>
            <w:tcW w:w="9350" w:type="dxa"/>
            <w:gridSpan w:val="2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9D2F8A">
        <w:trPr>
          <w:trHeight w:val="323"/>
        </w:trPr>
        <w:tc>
          <w:tcPr>
            <w:tcW w:w="4675" w:type="dxa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декодује, интерпретира и на одговарајући начин користи секције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преносног тока са сервисним информацијама, а нарочито:</w:t>
            </w: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2" w:name="OLE_LINK21"/>
            <w:bookmarkStart w:id="3" w:name="OLE_LINK22"/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PSI/SI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секције за тренутни (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Actual)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преносни ток и за остале преносне токове (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Other)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5"/>
              </w:numPr>
              <w:spacing w:before="200" w:after="200"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Сервисне секције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NIT, CAT, PAT, PMT, SDT, EIT, TDT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TOT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bookmarkEnd w:id="2"/>
          <w:bookmarkEnd w:id="3"/>
          <w:p w:rsidR="00521FA3" w:rsidRPr="00347F85" w:rsidRDefault="00521FA3" w:rsidP="00521FA3">
            <w:pPr>
              <w:pStyle w:val="ListParagraph"/>
              <w:numPr>
                <w:ilvl w:val="0"/>
                <w:numId w:val="5"/>
              </w:numPr>
              <w:spacing w:before="200" w:after="200"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EIT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секције за тренутно гледани програм (са издвајањем тренутних, будућих и заказаних програмских садржаја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родитељску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);</w:t>
            </w: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ТОТ секциј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временски офсет за Републику Србију са кодом 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srp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правилног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читања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секције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зимско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летње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рачунање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ручног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померања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временске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1FA3" w:rsidRPr="00347F85" w:rsidRDefault="00521FA3" w:rsidP="000E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Динамичке промене у 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табелама не смеју да проузрокују сметње на аудио/видео излазима пријемника пријемника типа 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STB. 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елементарног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мерено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ажурирања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PMT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чисте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слике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3s.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независно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елементарни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заштићен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енкриптован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14E94" w:rsidRDefault="00514E94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DC" w:rsidRPr="00347F85" w:rsidRDefault="00B27FDC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BA15BC">
        <w:trPr>
          <w:trHeight w:val="323"/>
        </w:trPr>
        <w:tc>
          <w:tcPr>
            <w:tcW w:w="9350" w:type="dxa"/>
            <w:gridSpan w:val="2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9D2F8A">
        <w:trPr>
          <w:trHeight w:val="323"/>
        </w:trPr>
        <w:tc>
          <w:tcPr>
            <w:tcW w:w="4675" w:type="dxa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омогућава приказивање електронског водича кроз програм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(EPG)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основу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EIT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сервисних информација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унапред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521FA3" w:rsidRPr="000E755A" w:rsidRDefault="00521FA3" w:rsidP="001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F22DC0">
        <w:trPr>
          <w:trHeight w:val="323"/>
        </w:trPr>
        <w:tc>
          <w:tcPr>
            <w:tcW w:w="9350" w:type="dxa"/>
            <w:gridSpan w:val="2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DC" w:rsidRPr="00347F85" w:rsidRDefault="00B27FDC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9D2F8A">
        <w:trPr>
          <w:trHeight w:val="323"/>
        </w:trPr>
        <w:tc>
          <w:tcPr>
            <w:tcW w:w="4675" w:type="dxa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подржава логички број телевизијских програма (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LCN) у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спецификацијом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IEC 62216:2009. У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оквиру</w:t>
            </w:r>
            <w:proofErr w:type="spellEnd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графичке</w:t>
            </w:r>
            <w:proofErr w:type="spellEnd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корисничке</w:t>
            </w:r>
            <w:proofErr w:type="spellEnd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спреге</w:t>
            </w:r>
            <w:proofErr w:type="spellEnd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211">
              <w:rPr>
                <w:rFonts w:ascii="Times New Roman" w:eastAsiaTheme="minorEastAsia" w:hAnsi="Times New Roman" w:cs="Times New Roman"/>
                <w:sz w:val="24"/>
                <w:szCs w:val="24"/>
              </w:rPr>
              <w:t>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омогућено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искључивање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одређивања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редоследа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логичког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броја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телевизијских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21FA3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94" w:rsidRPr="00347F85" w:rsidRDefault="00514E94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DA2E6D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816365">
        <w:trPr>
          <w:trHeight w:val="323"/>
        </w:trPr>
        <w:tc>
          <w:tcPr>
            <w:tcW w:w="9350" w:type="dxa"/>
            <w:gridSpan w:val="2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9D2F8A">
        <w:trPr>
          <w:trHeight w:val="323"/>
        </w:trPr>
        <w:tc>
          <w:tcPr>
            <w:tcW w:w="4675" w:type="dxa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387" w:rsidRPr="00EC2C6B" w:rsidRDefault="00BF45AF" w:rsidP="00BF45AF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подржава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ажурирања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системског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преносног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2C6B" w:rsidRDefault="00EC2C6B" w:rsidP="00EC2C6B">
            <w:pPr>
              <w:pStyle w:val="ListParagraph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2C6B" w:rsidRPr="00EC2C6B" w:rsidRDefault="00EC2C6B" w:rsidP="00EC2C6B">
            <w:pPr>
              <w:pStyle w:val="ListParagraph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2C6B" w:rsidRPr="00EC2C6B" w:rsidRDefault="00EA1387" w:rsidP="00BF45AF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подржава</w:t>
            </w:r>
            <w:proofErr w:type="spellEnd"/>
            <w:r w:rsidR="00BF45AF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ажурирање софтвера посредством</w:t>
            </w:r>
            <w:r w:rsidR="00BF45AF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USB</w:t>
            </w:r>
            <w:r w:rsidR="00BF45AF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спреге.</w:t>
            </w:r>
          </w:p>
          <w:p w:rsidR="00EA1387" w:rsidRDefault="00EA1387" w:rsidP="00EC2C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2C6B" w:rsidRDefault="00EC2C6B" w:rsidP="00EC2C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2C6B" w:rsidRDefault="00EC2C6B" w:rsidP="00EC2C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2C6B" w:rsidRDefault="00EC2C6B" w:rsidP="00EC2C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2C6B" w:rsidRDefault="00EC2C6B" w:rsidP="00EC2C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2C6B" w:rsidRDefault="00EC2C6B" w:rsidP="00EC2C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2C6B" w:rsidRPr="00EC2C6B" w:rsidRDefault="00EC2C6B" w:rsidP="00EC2C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21FA3" w:rsidRPr="00347F85" w:rsidRDefault="00BF45AF" w:rsidP="00BF45AF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оквиру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графичке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корисничке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спреге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обезбеђен</w:t>
            </w:r>
            <w:proofErr w:type="spellEnd"/>
            <w:r w:rsidR="00EA13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387">
              <w:rPr>
                <w:rFonts w:ascii="Times New Roman" w:eastAsiaTheme="minorEastAsia" w:hAnsi="Times New Roman" w:cs="Times New Roman"/>
                <w:sz w:val="24"/>
                <w:szCs w:val="24"/>
              </w:rPr>
              <w:t>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механизам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за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индикацију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доступна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верзија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системског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софтвера</w:t>
            </w:r>
            <w:proofErr w:type="spellEnd"/>
            <w:r w:rsidR="002355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EC2C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57D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журирање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софтвера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иницијализује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корисник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Такође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омогућ</w:t>
            </w:r>
            <w:r w:rsidR="0023557D">
              <w:rPr>
                <w:rFonts w:ascii="Times New Roman" w:eastAsiaTheme="minorEastAsia" w:hAnsi="Times New Roman" w:cs="Times New Roman"/>
                <w:sz w:val="24"/>
                <w:szCs w:val="24"/>
              </w:rPr>
              <w:t>ава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повратак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првобитну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верзију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софтвера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која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записана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меморији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неуспелог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ажурирања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F45AF" w:rsidRDefault="00BF45AF" w:rsidP="00BF45AF">
            <w:pPr>
              <w:ind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18" w:rsidRPr="00A91618" w:rsidRDefault="00A91618" w:rsidP="00BF45AF">
            <w:pPr>
              <w:ind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14E94" w:rsidRPr="00347F85" w:rsidRDefault="00514E94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347F85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57D" w:rsidRPr="00347F85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347F85" w:rsidRDefault="0023557D" w:rsidP="0023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23557D" w:rsidRPr="00347F85" w:rsidRDefault="0023557D" w:rsidP="002355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EC2C6B" w:rsidRDefault="0023557D" w:rsidP="0023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EC2C6B" w:rsidRPr="00EC2C6B" w:rsidRDefault="00EC2C6B" w:rsidP="00EC2C6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6B" w:rsidRPr="00347F85" w:rsidRDefault="00EC2C6B" w:rsidP="0023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конектор</w:t>
            </w:r>
            <w:proofErr w:type="spellEnd"/>
          </w:p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347F85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57D" w:rsidRPr="00347F85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347F85" w:rsidRDefault="0023557D" w:rsidP="0023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23557D" w:rsidRPr="00347F85" w:rsidRDefault="0023557D" w:rsidP="002355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347F85" w:rsidRDefault="0023557D" w:rsidP="0023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1376DD">
        <w:trPr>
          <w:trHeight w:val="323"/>
        </w:trPr>
        <w:tc>
          <w:tcPr>
            <w:tcW w:w="9350" w:type="dxa"/>
            <w:gridSpan w:val="2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9D2F8A">
        <w:trPr>
          <w:trHeight w:val="323"/>
        </w:trPr>
        <w:tc>
          <w:tcPr>
            <w:tcW w:w="4675" w:type="dxa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57D" w:rsidRPr="00EC2C6B" w:rsidRDefault="00BF45AF" w:rsidP="00BF45AF">
            <w:pPr>
              <w:pStyle w:val="ListParagraph"/>
              <w:numPr>
                <w:ilvl w:val="0"/>
                <w:numId w:val="2"/>
              </w:numPr>
              <w:ind w:left="0" w:firstLine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подржава приказ текста у графичкој корисничкој спрези на српском језику, коришћењем кодне стране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ISO/IEC 8859-5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односно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ISO/IEC 8859-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2. </w:t>
            </w:r>
          </w:p>
          <w:p w:rsidR="00EC2C6B" w:rsidRPr="0023557D" w:rsidRDefault="00EC2C6B" w:rsidP="00EC2C6B">
            <w:pPr>
              <w:pStyle w:val="ListParagraph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BF45AF" w:rsidP="00BF45AF">
            <w:pPr>
              <w:pStyle w:val="ListParagraph"/>
              <w:numPr>
                <w:ilvl w:val="0"/>
                <w:numId w:val="2"/>
              </w:numPr>
              <w:ind w:left="0" w:firstLine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подрж</w:t>
            </w:r>
            <w:r w:rsidR="002355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ава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приказ текста у графичкој корисничкој спрези на језицима националних мањина у Републици Србији.</w:t>
            </w:r>
          </w:p>
          <w:p w:rsidR="004F0AE7" w:rsidRPr="00347F85" w:rsidRDefault="004F0AE7" w:rsidP="004F0AE7">
            <w:pPr>
              <w:pStyle w:val="ListParagraph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C3" w:rsidRPr="00DE06C3" w:rsidRDefault="00DE06C3" w:rsidP="00521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57D" w:rsidRPr="00347F85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57D" w:rsidRPr="00347F85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347F85" w:rsidRDefault="0023557D" w:rsidP="0023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23557D" w:rsidRPr="00347F85" w:rsidRDefault="0023557D" w:rsidP="002355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Pr="00347F85" w:rsidRDefault="0023557D" w:rsidP="0023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23557D" w:rsidRPr="0023557D" w:rsidRDefault="0023557D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D8573A">
        <w:trPr>
          <w:trHeight w:val="323"/>
        </w:trPr>
        <w:tc>
          <w:tcPr>
            <w:tcW w:w="9350" w:type="dxa"/>
            <w:gridSpan w:val="2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9D2F8A">
        <w:trPr>
          <w:trHeight w:val="323"/>
        </w:trPr>
        <w:tc>
          <w:tcPr>
            <w:tcW w:w="4675" w:type="dxa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аутоматски проналази и примењује аудио компоненту означену ISO-639.2 ознаком језика 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srp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при чему је омогућена опција за измену тренутно коришћене аудио компоненте, избором из листе понуђених аудио компоненти.</w:t>
            </w:r>
          </w:p>
          <w:p w:rsidR="00521FA3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C3" w:rsidRPr="00DE06C3" w:rsidRDefault="00DE06C3" w:rsidP="00521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5" w:type="dxa"/>
          </w:tcPr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337B8C">
        <w:trPr>
          <w:trHeight w:val="323"/>
        </w:trPr>
        <w:tc>
          <w:tcPr>
            <w:tcW w:w="9350" w:type="dxa"/>
            <w:gridSpan w:val="2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A3" w:rsidRPr="00347F85" w:rsidTr="009D2F8A">
        <w:trPr>
          <w:trHeight w:val="323"/>
        </w:trPr>
        <w:tc>
          <w:tcPr>
            <w:tcW w:w="4675" w:type="dxa"/>
          </w:tcPr>
          <w:p w:rsidR="00521FA3" w:rsidRPr="00347F85" w:rsidRDefault="00521FA3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аутоматски проналази и примењује превод означен ISO-639.2 ознаком језика 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srp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при чему је омогућена опција за измену тренутно коришћеног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превода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избором из листе превода.</w:t>
            </w:r>
          </w:p>
          <w:p w:rsidR="00521FA3" w:rsidRDefault="00521FA3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C3" w:rsidRPr="00DE06C3" w:rsidRDefault="00DE06C3" w:rsidP="00AD11A9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5" w:type="dxa"/>
          </w:tcPr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A3" w:rsidRPr="00347F85" w:rsidRDefault="00521FA3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03284F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Default="00AD11A9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06" w:rsidRDefault="00603006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06" w:rsidRPr="00603006" w:rsidRDefault="00603006" w:rsidP="0052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0F6465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ријемник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подржава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додатне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, Е-АC-3)</w:t>
            </w:r>
            <w:proofErr w:type="gram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00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60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006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једноставне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активације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деактивације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даљинском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управљачу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последица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основни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11A9"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srp</w:t>
            </w:r>
            <w:r w:rsidR="00AD11A9" w:rsidRPr="00347F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EC2C6B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EC2C6B" w:rsidRPr="00EC2C6B" w:rsidRDefault="00EC2C6B" w:rsidP="00EC2C6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6B" w:rsidRPr="00347F85" w:rsidRDefault="00EC2C6B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Пријемник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подржава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сервисе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443EB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603006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обезбеђује  синхронизацију звука и слике (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ipSync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аутоматски. Разилажење звука и слике </w:t>
            </w:r>
            <w:r w:rsidR="006030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субјективно неприметно.</w:t>
            </w: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6B" w:rsidRPr="00EC2C6B" w:rsidRDefault="00AD11A9" w:rsidP="00EC2C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264AC0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C845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EC2C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Графичка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корисничка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спрега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пријемника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омогућава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приказивање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нивоу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квалитету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примљеног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сигнала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D11A9" w:rsidRPr="00EC2C6B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D301E2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EC2C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EC2C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3A4B" w:rsidRPr="00A91618" w:rsidRDefault="00AD11A9" w:rsidP="00A91618">
            <w:pPr>
              <w:pStyle w:val="ListParagraph"/>
              <w:numPr>
                <w:ilvl w:val="0"/>
                <w:numId w:val="2"/>
              </w:numPr>
              <w:ind w:left="0" w:firstLine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омогућава аутоматско претраживање подржаних фреквенцијских опсега, при</w:t>
            </w:r>
            <w:r w:rsidR="006030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јем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одговарајућ</w:t>
            </w:r>
            <w:r w:rsidR="006030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преносн</w:t>
            </w:r>
            <w:r w:rsidR="006030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токов</w:t>
            </w:r>
            <w:r w:rsidR="006030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чува</w:t>
            </w:r>
            <w:r w:rsidR="00F611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ње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информациј</w:t>
            </w:r>
            <w:r w:rsidR="00F611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 пронађеним програмима, заједно са припадајућим идентификаторима (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PID)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аудио, видео и осталих релевантних секција. Додатно, пријемник омогућава претраживање на фреквенцији коју задаје корисник посредством графичке корисничке спреге.</w:t>
            </w: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BD75EF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Промена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модулационих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параметара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14D">
              <w:rPr>
                <w:rFonts w:ascii="Times New Roman" w:eastAsiaTheme="minorEastAsia" w:hAnsi="Times New Roman" w:cs="Times New Roman"/>
                <w:sz w:val="24"/>
                <w:szCs w:val="24"/>
              </w:rPr>
              <w:t>утиче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значајније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рад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пријеника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23A4B" w:rsidRPr="00347F85" w:rsidRDefault="00023A4B" w:rsidP="0002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CD4A7A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Пријемник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поседује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лако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употребљив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даљински</w:t>
            </w:r>
            <w:proofErr w:type="spellEnd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управљач</w:t>
            </w:r>
            <w:proofErr w:type="spellEnd"/>
            <w:r w:rsidR="00F611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032953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Пријемник задовољава захтеве у погледу материјала коришћених за израду у складу са директивом 2002/95/EC.</w:t>
            </w:r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F6187E">
        <w:trPr>
          <w:trHeight w:val="323"/>
        </w:trPr>
        <w:tc>
          <w:tcPr>
            <w:tcW w:w="9350" w:type="dxa"/>
            <w:gridSpan w:val="2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A9" w:rsidRPr="00347F85" w:rsidTr="009D2F8A">
        <w:trPr>
          <w:trHeight w:val="323"/>
        </w:trPr>
        <w:tc>
          <w:tcPr>
            <w:tcW w:w="4675" w:type="dxa"/>
          </w:tcPr>
          <w:p w:rsidR="00AD11A9" w:rsidRPr="00347F85" w:rsidRDefault="00AD11A9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2D0D7F" w:rsidP="00AD11A9">
            <w:pPr>
              <w:pStyle w:val="ListParagraph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Пријемник </w:t>
            </w:r>
            <w:r w:rsidR="00AD11A9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задовољ</w:t>
            </w:r>
            <w:r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ава</w:t>
            </w:r>
            <w:r w:rsidR="00AD11A9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захтеве у погледу енергетске ефикасности у складу са </w:t>
            </w:r>
            <w:r w:rsidR="00AD11A9" w:rsidRPr="00347F8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Code of Conduct on Energy Efficiency of Digital TV Service Systems </w:t>
            </w:r>
            <w:r w:rsidR="00AD11A9" w:rsidRPr="00347F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Европске комисије</w:t>
            </w:r>
            <w:r w:rsidR="00AD11A9" w:rsidRPr="00347F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AD11A9" w:rsidRPr="00567C30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E6D">
              <w:rPr>
                <w:rFonts w:ascii="Times New Roman" w:hAnsi="Times New Roman" w:cs="Times New Roman"/>
                <w:sz w:val="24"/>
                <w:szCs w:val="24"/>
              </w:rPr>
              <w:t>испуњено</w:t>
            </w:r>
            <w:proofErr w:type="spellEnd"/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A9" w:rsidRPr="00347F85" w:rsidRDefault="00AD11A9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7F" w:rsidRPr="00347F85" w:rsidTr="001F456B">
        <w:trPr>
          <w:trHeight w:val="323"/>
        </w:trPr>
        <w:tc>
          <w:tcPr>
            <w:tcW w:w="9350" w:type="dxa"/>
            <w:gridSpan w:val="2"/>
          </w:tcPr>
          <w:p w:rsidR="002D0D7F" w:rsidRPr="00347F85" w:rsidRDefault="002D0D7F" w:rsidP="00567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proofErr w:type="spellEnd"/>
            <w:r w:rsidRPr="0034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0D7F" w:rsidRPr="00347F85" w:rsidRDefault="002D0D7F" w:rsidP="002D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7F" w:rsidRPr="00347F85" w:rsidRDefault="002D0D7F" w:rsidP="002D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7F" w:rsidRPr="00347F85" w:rsidRDefault="002D0D7F" w:rsidP="002D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7F" w:rsidRPr="00347F85" w:rsidRDefault="002D0D7F" w:rsidP="002D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7F" w:rsidRPr="00347F85" w:rsidRDefault="002D0D7F" w:rsidP="00AD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CB" w:rsidRPr="00347F85" w:rsidRDefault="00444ACB">
      <w:pPr>
        <w:rPr>
          <w:rFonts w:ascii="Times New Roman" w:hAnsi="Times New Roman" w:cs="Times New Roman"/>
          <w:sz w:val="24"/>
          <w:szCs w:val="24"/>
        </w:rPr>
      </w:pPr>
    </w:p>
    <w:p w:rsidR="00807BAC" w:rsidRPr="00347F85" w:rsidRDefault="00807BAC" w:rsidP="001A3A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1A3AA1"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="001A3AA1"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="001A3AA1" w:rsidRPr="00347F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3AA1" w:rsidRPr="00347F85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="001A3AA1"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="001A3AA1"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23D" w:rsidRPr="00347F85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="005F423D" w:rsidRPr="00347F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423D" w:rsidRPr="00347F85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потпуни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тач</w:t>
      </w:r>
      <w:r w:rsidR="005F423D" w:rsidRPr="00347F8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85">
        <w:rPr>
          <w:rFonts w:ascii="Times New Roman" w:hAnsi="Times New Roman" w:cs="Times New Roman"/>
          <w:sz w:val="24"/>
          <w:szCs w:val="24"/>
        </w:rPr>
        <w:t>потврђујем</w:t>
      </w:r>
      <w:proofErr w:type="spellEnd"/>
      <w:r w:rsidRPr="00347F85">
        <w:rPr>
          <w:rFonts w:ascii="Times New Roman" w:hAnsi="Times New Roman" w:cs="Times New Roman"/>
          <w:sz w:val="24"/>
          <w:szCs w:val="24"/>
        </w:rPr>
        <w:t>.</w:t>
      </w:r>
    </w:p>
    <w:p w:rsidR="00FE5AC9" w:rsidRPr="00347F85" w:rsidRDefault="00FE5AC9" w:rsidP="001A3A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5AC9" w:rsidRPr="00347F85" w:rsidRDefault="00FE5AC9" w:rsidP="001A3A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3AA1" w:rsidRPr="00347F85" w:rsidRDefault="001A3AA1" w:rsidP="001A3A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A3AA1" w:rsidRPr="00347F85" w:rsidTr="0036289D"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1A3AA1" w:rsidRPr="00347F85" w:rsidRDefault="001A3AA1" w:rsidP="0036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  <w:shd w:val="clear" w:color="auto" w:fill="auto"/>
          </w:tcPr>
          <w:p w:rsidR="001A3AA1" w:rsidRPr="00347F85" w:rsidRDefault="001A3AA1" w:rsidP="00362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1A3AA1" w:rsidRPr="00347F85" w:rsidRDefault="001A3AA1" w:rsidP="0036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AA1" w:rsidRPr="00347F85" w:rsidTr="0036289D">
        <w:tc>
          <w:tcPr>
            <w:tcW w:w="30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3AA1" w:rsidRPr="00567C30" w:rsidRDefault="00567C30" w:rsidP="0036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Meстo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дaтум</w:t>
            </w:r>
            <w:proofErr w:type="spellEnd"/>
          </w:p>
          <w:p w:rsidR="001A3AA1" w:rsidRPr="00347F85" w:rsidRDefault="001A3AA1" w:rsidP="00362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  <w:shd w:val="clear" w:color="auto" w:fill="auto"/>
          </w:tcPr>
          <w:p w:rsidR="001A3AA1" w:rsidRPr="00347F85" w:rsidRDefault="001A3AA1" w:rsidP="00362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3AA1" w:rsidRPr="00567C30" w:rsidRDefault="00567C30" w:rsidP="0036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пoтпис</w:t>
            </w:r>
            <w:proofErr w:type="spellEnd"/>
          </w:p>
          <w:p w:rsidR="001A3AA1" w:rsidRPr="00347F85" w:rsidRDefault="001A3AA1" w:rsidP="00362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3AA1" w:rsidRDefault="001A3AA1" w:rsidP="001A3AA1">
      <w:pPr>
        <w:rPr>
          <w:rFonts w:ascii="Times New Roman" w:hAnsi="Times New Roman" w:cs="Times New Roman"/>
          <w:b/>
        </w:rPr>
      </w:pPr>
    </w:p>
    <w:p w:rsidR="00A91618" w:rsidRPr="00347F85" w:rsidRDefault="00A91618" w:rsidP="001A3AA1">
      <w:pPr>
        <w:rPr>
          <w:rFonts w:ascii="Times New Roman" w:hAnsi="Times New Roman" w:cs="Times New Roman"/>
          <w:b/>
        </w:rPr>
      </w:pPr>
    </w:p>
    <w:p w:rsidR="001A3AA1" w:rsidRPr="00347F85" w:rsidRDefault="00652730" w:rsidP="001A3AA1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Напомена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proofErr w:type="spellStart"/>
      <w:r w:rsidR="001A3AA1" w:rsidRPr="00347F85">
        <w:rPr>
          <w:rFonts w:ascii="Times New Roman" w:hAnsi="Times New Roman" w:cs="Times New Roman"/>
          <w:i/>
        </w:rPr>
        <w:t>Уз</w:t>
      </w:r>
      <w:proofErr w:type="spellEnd"/>
      <w:r w:rsidR="001A3AA1" w:rsidRPr="00347F85">
        <w:rPr>
          <w:rFonts w:ascii="Times New Roman" w:hAnsi="Times New Roman" w:cs="Times New Roman"/>
          <w:i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i/>
        </w:rPr>
        <w:t>попуњени</w:t>
      </w:r>
      <w:proofErr w:type="spellEnd"/>
      <w:r w:rsidR="001A3AA1" w:rsidRPr="00347F85">
        <w:rPr>
          <w:rFonts w:ascii="Times New Roman" w:hAnsi="Times New Roman" w:cs="Times New Roman"/>
          <w:i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i/>
        </w:rPr>
        <w:t>образац</w:t>
      </w:r>
      <w:proofErr w:type="spellEnd"/>
      <w:r w:rsidR="001A3AA1" w:rsidRPr="00347F85">
        <w:rPr>
          <w:rFonts w:ascii="Times New Roman" w:hAnsi="Times New Roman" w:cs="Times New Roman"/>
          <w:i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i/>
        </w:rPr>
        <w:t>доставити</w:t>
      </w:r>
      <w:proofErr w:type="spellEnd"/>
      <w:r w:rsidR="001A3AA1" w:rsidRPr="00347F85">
        <w:rPr>
          <w:rFonts w:ascii="Times New Roman" w:hAnsi="Times New Roman" w:cs="Times New Roman"/>
          <w:i/>
        </w:rPr>
        <w:t xml:space="preserve"> и </w:t>
      </w:r>
      <w:proofErr w:type="spellStart"/>
      <w:r w:rsidR="001A3AA1" w:rsidRPr="00347F85">
        <w:rPr>
          <w:rFonts w:ascii="Times New Roman" w:hAnsi="Times New Roman" w:cs="Times New Roman"/>
          <w:i/>
        </w:rPr>
        <w:t>одговарајућу</w:t>
      </w:r>
      <w:proofErr w:type="spellEnd"/>
      <w:r w:rsidR="001A3AA1" w:rsidRPr="00347F85">
        <w:rPr>
          <w:rFonts w:ascii="Times New Roman" w:hAnsi="Times New Roman" w:cs="Times New Roman"/>
          <w:i/>
        </w:rPr>
        <w:t xml:space="preserve"> </w:t>
      </w:r>
      <w:proofErr w:type="spellStart"/>
      <w:r w:rsidR="001A3AA1" w:rsidRPr="00347F85">
        <w:rPr>
          <w:rFonts w:ascii="Times New Roman" w:hAnsi="Times New Roman" w:cs="Times New Roman"/>
          <w:i/>
        </w:rPr>
        <w:t>техничку</w:t>
      </w:r>
      <w:proofErr w:type="spellEnd"/>
      <w:r w:rsidR="001A3AA1" w:rsidRPr="00347F85">
        <w:rPr>
          <w:rFonts w:ascii="Times New Roman" w:hAnsi="Times New Roman" w:cs="Times New Roman"/>
          <w:i/>
        </w:rPr>
        <w:t xml:space="preserve"> </w:t>
      </w:r>
      <w:proofErr w:type="spellStart"/>
      <w:r w:rsidR="00D97509" w:rsidRPr="00347F85">
        <w:rPr>
          <w:rFonts w:ascii="Times New Roman" w:hAnsi="Times New Roman" w:cs="Times New Roman"/>
          <w:i/>
        </w:rPr>
        <w:t>документацију</w:t>
      </w:r>
      <w:proofErr w:type="spellEnd"/>
    </w:p>
    <w:p w:rsidR="001A3AA1" w:rsidRPr="00347F85" w:rsidRDefault="001A3AA1" w:rsidP="00807BAC">
      <w:pPr>
        <w:rPr>
          <w:rFonts w:ascii="Times New Roman" w:hAnsi="Times New Roman" w:cs="Times New Roman"/>
          <w:sz w:val="24"/>
          <w:szCs w:val="24"/>
        </w:rPr>
      </w:pPr>
    </w:p>
    <w:sectPr w:rsidR="001A3AA1" w:rsidRPr="00347F85" w:rsidSect="00182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70B"/>
    <w:multiLevelType w:val="hybridMultilevel"/>
    <w:tmpl w:val="DAE4FE7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038A"/>
    <w:multiLevelType w:val="hybridMultilevel"/>
    <w:tmpl w:val="D44296B4"/>
    <w:lvl w:ilvl="0" w:tplc="AAD65E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A56F9"/>
    <w:multiLevelType w:val="hybridMultilevel"/>
    <w:tmpl w:val="C9381976"/>
    <w:lvl w:ilvl="0" w:tplc="AAD65EC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2D9345B"/>
    <w:multiLevelType w:val="hybridMultilevel"/>
    <w:tmpl w:val="5F5A6928"/>
    <w:lvl w:ilvl="0" w:tplc="72E2A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D385E"/>
    <w:multiLevelType w:val="hybridMultilevel"/>
    <w:tmpl w:val="F62476E0"/>
    <w:lvl w:ilvl="0" w:tplc="E79E3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A7805"/>
    <w:multiLevelType w:val="hybridMultilevel"/>
    <w:tmpl w:val="32C2C33A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303EB"/>
    <w:multiLevelType w:val="hybridMultilevel"/>
    <w:tmpl w:val="982A28B4"/>
    <w:lvl w:ilvl="0" w:tplc="66ECD60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5F"/>
    <w:rsid w:val="00023A4B"/>
    <w:rsid w:val="000607F2"/>
    <w:rsid w:val="000B1AE1"/>
    <w:rsid w:val="000C0C1C"/>
    <w:rsid w:val="000E755A"/>
    <w:rsid w:val="000F1E1D"/>
    <w:rsid w:val="000F6465"/>
    <w:rsid w:val="0010150B"/>
    <w:rsid w:val="0018286A"/>
    <w:rsid w:val="001A3AA1"/>
    <w:rsid w:val="001C1211"/>
    <w:rsid w:val="0023557D"/>
    <w:rsid w:val="00254021"/>
    <w:rsid w:val="002A53F6"/>
    <w:rsid w:val="002D0D7F"/>
    <w:rsid w:val="00310D5E"/>
    <w:rsid w:val="00347F85"/>
    <w:rsid w:val="00354B8E"/>
    <w:rsid w:val="0037581D"/>
    <w:rsid w:val="0042015F"/>
    <w:rsid w:val="00444ACB"/>
    <w:rsid w:val="00475725"/>
    <w:rsid w:val="0048453C"/>
    <w:rsid w:val="004F0AE7"/>
    <w:rsid w:val="00514E94"/>
    <w:rsid w:val="00521FA3"/>
    <w:rsid w:val="00567C30"/>
    <w:rsid w:val="005D7EA1"/>
    <w:rsid w:val="005F423D"/>
    <w:rsid w:val="00603006"/>
    <w:rsid w:val="00623B59"/>
    <w:rsid w:val="00652730"/>
    <w:rsid w:val="007F5FDB"/>
    <w:rsid w:val="00807BAC"/>
    <w:rsid w:val="008F70D2"/>
    <w:rsid w:val="009B0F9E"/>
    <w:rsid w:val="009F5251"/>
    <w:rsid w:val="00A46BD2"/>
    <w:rsid w:val="00A76B55"/>
    <w:rsid w:val="00A91618"/>
    <w:rsid w:val="00AB0A4A"/>
    <w:rsid w:val="00AD01C8"/>
    <w:rsid w:val="00AD11A9"/>
    <w:rsid w:val="00AD62E1"/>
    <w:rsid w:val="00B27FDC"/>
    <w:rsid w:val="00B317C4"/>
    <w:rsid w:val="00B91415"/>
    <w:rsid w:val="00BB7A54"/>
    <w:rsid w:val="00BD329B"/>
    <w:rsid w:val="00BF45AF"/>
    <w:rsid w:val="00C221C0"/>
    <w:rsid w:val="00C84532"/>
    <w:rsid w:val="00CB12F7"/>
    <w:rsid w:val="00CD573C"/>
    <w:rsid w:val="00D17913"/>
    <w:rsid w:val="00D216B8"/>
    <w:rsid w:val="00D55161"/>
    <w:rsid w:val="00D97509"/>
    <w:rsid w:val="00DA2E6D"/>
    <w:rsid w:val="00DE06C3"/>
    <w:rsid w:val="00DF03C3"/>
    <w:rsid w:val="00E95A3C"/>
    <w:rsid w:val="00EA1387"/>
    <w:rsid w:val="00EC2C6B"/>
    <w:rsid w:val="00EE5ECC"/>
    <w:rsid w:val="00F54969"/>
    <w:rsid w:val="00F60615"/>
    <w:rsid w:val="00F6114D"/>
    <w:rsid w:val="00F956B1"/>
    <w:rsid w:val="00FE568D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4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1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5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8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4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1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5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28E8-D786-4605-B61A-7B0209DA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MTT</dc:creator>
  <cp:lastModifiedBy>Vladana Radisavljevic</cp:lastModifiedBy>
  <cp:revision>2</cp:revision>
  <cp:lastPrinted>2014-09-12T12:59:00Z</cp:lastPrinted>
  <dcterms:created xsi:type="dcterms:W3CDTF">2014-09-23T09:52:00Z</dcterms:created>
  <dcterms:modified xsi:type="dcterms:W3CDTF">2014-09-23T09:52:00Z</dcterms:modified>
</cp:coreProperties>
</file>